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62FC">
      <w:pPr>
        <w:pStyle w:val="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</w:p>
    <w:p w14:paraId="1F329D5C">
      <w:pPr>
        <w:pStyle w:val="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индикатора риска нарушения обязательных требований</w:t>
      </w:r>
    </w:p>
    <w:p w14:paraId="1004F806">
      <w:pPr>
        <w:pStyle w:val="84"/>
        <w:jc w:val="center"/>
      </w:pPr>
    </w:p>
    <w:tbl>
      <w:tblPr>
        <w:tblStyle w:val="12"/>
        <w:tblW w:w="14565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08"/>
        <w:gridCol w:w="3542"/>
        <w:gridCol w:w="711"/>
        <w:gridCol w:w="1842"/>
        <w:gridCol w:w="568"/>
        <w:gridCol w:w="1843"/>
        <w:gridCol w:w="708"/>
        <w:gridCol w:w="4078"/>
      </w:tblGrid>
      <w:tr w14:paraId="75CA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E31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9F53">
            <w:pPr>
              <w:pStyle w:val="84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Общая информация по индикатору риска нарушения обязательных требований</w:t>
            </w:r>
          </w:p>
        </w:tc>
      </w:tr>
      <w:tr w14:paraId="1263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C299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8016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54B9A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Наименование органа</w:t>
            </w:r>
          </w:p>
          <w:p w14:paraId="1374E04C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исполнительной власти, органа</w:t>
            </w:r>
          </w:p>
          <w:p w14:paraId="2A41B847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местного самоуправления,</w:t>
            </w:r>
          </w:p>
          <w:p w14:paraId="5E9EBB79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осуществляющего контрольную</w:t>
            </w:r>
          </w:p>
          <w:p w14:paraId="4CEC4098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(надзорную) деятельность,</w:t>
            </w:r>
          </w:p>
          <w:p w14:paraId="4D9AF771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ответственного за разработку</w:t>
            </w:r>
          </w:p>
          <w:p w14:paraId="337BABD1">
            <w:pPr>
              <w:pStyle w:val="84"/>
              <w:widowControl/>
              <w:spacing w:before="0" w:after="0"/>
              <w:jc w:val="center"/>
              <w:rPr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индикатора риска нарушения</w:t>
            </w:r>
          </w:p>
          <w:p w14:paraId="72F84C80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обязательных требований</w:t>
            </w:r>
          </w:p>
          <w:p w14:paraId="0F64C376">
            <w:pPr>
              <w:pStyle w:val="84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CE1F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1.2</w:t>
            </w:r>
          </w:p>
        </w:tc>
        <w:tc>
          <w:tcPr>
            <w:tcW w:w="6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1A1A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Наименование вида</w:t>
            </w:r>
          </w:p>
          <w:p w14:paraId="6172B98F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государственного контроля</w:t>
            </w:r>
          </w:p>
          <w:p w14:paraId="332040FC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(надзора), муниципального контроля</w:t>
            </w:r>
          </w:p>
          <w:p w14:paraId="37A7F2BF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F653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23E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BEC2B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923C">
            <w:pPr>
              <w:pStyle w:val="84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Администрация сельского поселения Унъюган</w:t>
            </w:r>
          </w:p>
          <w:p w14:paraId="4B823991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ECCEF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Муниципальный контроль на автомобильном транспорте, городском наземном электрическом транспорте и в дорожном хозяйстве на территории сельского поселения Унъюган</w:t>
            </w:r>
          </w:p>
        </w:tc>
      </w:tr>
      <w:tr w14:paraId="2C9E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27DE0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362C8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1.3</w:t>
            </w:r>
          </w:p>
        </w:tc>
        <w:tc>
          <w:tcPr>
            <w:tcW w:w="13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896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Наименование индик</w:t>
            </w:r>
            <w:bookmarkStart w:id="1" w:name="_GoBack"/>
            <w:bookmarkEnd w:id="1"/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атора риска нарушения обязательных требований</w:t>
            </w:r>
          </w:p>
        </w:tc>
      </w:tr>
      <w:tr w14:paraId="4063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B9837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ED611">
            <w:pPr>
              <w:pStyle w:val="84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</w:tc>
      </w:tr>
      <w:tr w14:paraId="7C42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32F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7C9C">
            <w:pPr>
              <w:pStyle w:val="84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13"/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footnoteReference w:id="0"/>
            </w:r>
          </w:p>
        </w:tc>
      </w:tr>
      <w:tr w14:paraId="134C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0AC6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0C53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744B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1816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BF1B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3C4E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2.3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8E78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Ссылка на ФГИС</w:t>
            </w:r>
          </w:p>
          <w:p w14:paraId="25ED4D1C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РОТ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"/>
            </w:r>
          </w:p>
        </w:tc>
      </w:tr>
      <w:tr w14:paraId="316B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CCEF9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561E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  <w:t>- Федеральный закон от 08.11.2007 № 259-ФЗ «Устав автомобильного транспорта и городского наземного электрического транспорта».</w:t>
            </w: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14B93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</w:p>
          <w:p w14:paraId="5E0BFFFC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  <w:t>Статья 4, статья 5, статья 20</w:t>
            </w:r>
          </w:p>
          <w:p w14:paraId="73F0524E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</w:p>
          <w:p w14:paraId="01054B7C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</w:p>
          <w:p w14:paraId="71375E95">
            <w:pPr>
              <w:pStyle w:val="84"/>
              <w:widowControl/>
              <w:spacing w:before="0" w:after="0"/>
              <w:jc w:val="both"/>
              <w:rPr>
                <w:rStyle w:val="78"/>
                <w:rFonts w:ascii="Times New Roman" w:hAnsi="Times New Roman" w:eastAsia="Arial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93C1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67A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B994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Сведения отсутствуют</w:t>
            </w:r>
          </w:p>
        </w:tc>
      </w:tr>
      <w:tr w14:paraId="2EBBD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34A76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DF5AF">
            <w:pPr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Style w:val="78"/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-</w:t>
            </w:r>
            <w:r>
              <w:rPr>
                <w:rStyle w:val="78"/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78"/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Федеральный закон от 08.11.2007 №257-ФЗ «Об автомобильных дорогах и о дорожной деятельности в Российской Федерации и о внесении изменений</w:t>
            </w:r>
            <w:r>
              <w:rPr>
                <w:rStyle w:val="78"/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78"/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в отдельные законодательные акты Российской Федерации</w:t>
            </w: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6D8E7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5757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Сведения отсутствуют</w:t>
            </w:r>
          </w:p>
        </w:tc>
      </w:tr>
      <w:tr w14:paraId="4EB0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114D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BEE2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Объект контроля</w:t>
            </w:r>
          </w:p>
        </w:tc>
      </w:tr>
      <w:tr w14:paraId="7B4D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0E6E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17D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B7C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Тип объекта контроля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2"/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204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CE46B">
            <w:pPr>
              <w:pStyle w:val="84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Вид объекта контроля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3"/>
            </w:r>
          </w:p>
          <w:p w14:paraId="167F95E9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9C4D7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9D3E3">
            <w:pPr>
              <w:pStyle w:val="84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Подвид объекта контроля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4"/>
            </w:r>
          </w:p>
        </w:tc>
      </w:tr>
      <w:tr w14:paraId="611E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B546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7561E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D565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14:paraId="6519CF34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47A12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 w14:paraId="1583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7CC3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F966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CE5F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14:paraId="2DE10EA2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F0CF5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 w14:paraId="0339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0831E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7980E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здания, помещения, сооружения, территории, включая земельные участки, предметы и другие объекты, которыми контролируемые лица владеют и (или) пользуются, и к которым предъявляются обязательные требования (далее - производственные объекты)</w:t>
            </w: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0E6F0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  <w:t>здания, помещения, сооружения, территории, включая земельные участки, предметы и другие объекты, которыми контролируемые лица владеют и (или) пользуются, и к которым предъявляются обязательные требования (далее - производственные объекты)</w:t>
            </w:r>
          </w:p>
          <w:p w14:paraId="74195938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</w:pPr>
          </w:p>
          <w:p w14:paraId="1B291CF2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TimesNewRomanCYR" w:cs="Times New Roman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5240E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 w14:paraId="54C3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6913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5A58">
            <w:pPr>
              <w:pStyle w:val="84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Расчет отклонения (соответствия) от установленных индикатором риска параметров</w:t>
            </w:r>
          </w:p>
        </w:tc>
      </w:tr>
      <w:tr w14:paraId="08EA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03602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C7E7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13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D452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Период расчёта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5"/>
            </w:r>
          </w:p>
        </w:tc>
      </w:tr>
      <w:tr w14:paraId="3EF9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84A5D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46B22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 раз в месяц</w:t>
            </w:r>
          </w:p>
        </w:tc>
      </w:tr>
      <w:tr w14:paraId="03BC7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CCF6B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419A7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4.2</w:t>
            </w:r>
          </w:p>
        </w:tc>
        <w:tc>
          <w:tcPr>
            <w:tcW w:w="13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C715">
            <w:pPr>
              <w:pStyle w:val="84"/>
              <w:widowControl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применяется</w:t>
            </w:r>
          </w:p>
        </w:tc>
      </w:tr>
      <w:tr w14:paraId="2320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7FE5D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B24C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14:paraId="0907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EE505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A62A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4.3</w:t>
            </w:r>
          </w:p>
        </w:tc>
        <w:tc>
          <w:tcPr>
            <w:tcW w:w="13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568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Расшифровка переменных</w:t>
            </w:r>
          </w:p>
        </w:tc>
      </w:tr>
      <w:tr w14:paraId="5685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19336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45836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4.3.1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5ADA9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Переменная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6"/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D62A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4.3.2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04B2">
            <w:pPr>
              <w:pStyle w:val="84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Наименование переменной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7"/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971CC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4.3.3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1F867">
            <w:pPr>
              <w:pStyle w:val="84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Источник получения данных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8"/>
            </w:r>
          </w:p>
        </w:tc>
      </w:tr>
      <w:tr w14:paraId="027D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F39D1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8C78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00292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6C130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07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C7FED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A944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6AB36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B586">
            <w:pPr>
              <w:pStyle w:val="84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0E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C91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1BE8">
            <w:pPr>
              <w:pStyle w:val="84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br w:type="textWrapping"/>
            </w: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 проведении контрольного (надзорного) мероприятия</w:t>
            </w:r>
          </w:p>
        </w:tc>
      </w:tr>
      <w:tr w14:paraId="5290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4464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A2F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850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C9016">
            <w:pPr>
              <w:pStyle w:val="84"/>
              <w:widowControl/>
              <w:spacing w:before="0" w:after="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Правоустанавливающие и иные документы, подтверждающие индивидуализирующие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9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CA3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выписка из ЕГРЮЛ/ЕГРИП</w:t>
            </w:r>
          </w:p>
        </w:tc>
      </w:tr>
      <w:tr w14:paraId="670D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F6BC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D7414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BEABB">
            <w:pPr>
              <w:widowControl/>
              <w:bidi w:val="0"/>
              <w:spacing w:before="0"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A7C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договор аренды, выполнения работ/оказания услуг</w:t>
            </w:r>
          </w:p>
        </w:tc>
      </w:tr>
      <w:tr w14:paraId="34A8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7C2FF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4F31C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01FB3">
            <w:pPr>
              <w:widowControl/>
              <w:bidi w:val="0"/>
              <w:spacing w:before="0"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3F6725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свидетельство о регистрации транспортного средства</w:t>
            </w:r>
          </w:p>
        </w:tc>
      </w:tr>
      <w:tr w14:paraId="64D64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CC504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7F06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5.2</w:t>
            </w:r>
          </w:p>
        </w:tc>
        <w:tc>
          <w:tcPr>
            <w:tcW w:w="8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F0956">
            <w:pPr>
              <w:pStyle w:val="84"/>
              <w:widowControl/>
              <w:spacing w:before="0" w:after="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0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2DF96">
            <w:pPr>
              <w:pStyle w:val="84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 xml:space="preserve">Результаты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работы средств фото-, видеофиксации</w:t>
            </w: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 xml:space="preserve">, имеющиеся в распоряжении отдела муниципального контроля </w:t>
            </w:r>
            <w:r>
              <w:rPr>
                <w:rFonts w:ascii="Times New Roman" w:hAnsi="Times New Roman" w:eastAsia="Times New Roman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на автомобильном транспорте, городском наземном электрическом транспорте и в дорожном хозяйстве на территории сельского поселения Унъюган</w:t>
            </w: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том числе  полученные в порядке межведомственного информационного взаимодействия</w:t>
            </w: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 w14:paraId="4BEFAF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677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8B4AA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1109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5.3</w:t>
            </w:r>
          </w:p>
        </w:tc>
        <w:tc>
          <w:tcPr>
            <w:tcW w:w="850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03D35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Документы, подтверждающие проведение контрольных (надзорных) мероприятий без</w:t>
            </w:r>
          </w:p>
          <w:p w14:paraId="6A011D94">
            <w:pPr>
              <w:pStyle w:val="84"/>
              <w:widowControl/>
              <w:spacing w:before="0" w:after="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1"/>
            </w:r>
          </w:p>
          <w:p w14:paraId="4AD6C1B7">
            <w:pPr>
              <w:widowControl/>
              <w:spacing w:before="0" w:after="0" w:line="240" w:lineRule="auto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EF09AE">
            <w:pPr>
              <w:pStyle w:val="84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Предостережение</w:t>
            </w:r>
          </w:p>
          <w:p w14:paraId="25E1F048">
            <w:pPr>
              <w:pStyle w:val="84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Акт обязательного профилактического визита</w:t>
            </w:r>
          </w:p>
          <w:p w14:paraId="3BA627A1">
            <w:pPr>
              <w:widowControl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Акт выездного обследования без взаимодействия.</w:t>
            </w:r>
          </w:p>
          <w:p w14:paraId="0F548C53">
            <w:pPr>
              <w:widowControl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Акт наблюдения за соблюдением обязательных требований.</w:t>
            </w:r>
          </w:p>
        </w:tc>
      </w:tr>
      <w:tr w14:paraId="2B97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0052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C910A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85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37D191">
            <w:pPr>
              <w:widowControl/>
              <w:bidi w:val="0"/>
              <w:spacing w:before="0"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F95DD">
            <w:pPr>
              <w:widowControl/>
              <w:bidi w:val="0"/>
              <w:spacing w:before="0"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14:paraId="41FB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DC7AA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2AA6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5.4</w:t>
            </w:r>
          </w:p>
        </w:tc>
        <w:tc>
          <w:tcPr>
            <w:tcW w:w="8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E33A79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Иные документы, подтверждающие необходимость проведения внепланового</w:t>
            </w:r>
          </w:p>
          <w:p w14:paraId="00F81EB8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контрольного (надзорного) мероприятия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2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7C508">
            <w:pPr>
              <w:widowControl/>
              <w:spacing w:before="0" w:after="0" w:line="240" w:lineRule="auto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 w14:paraId="072B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4211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1F63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Особенности проведения контрольного (надзорного) мероприятия</w:t>
            </w:r>
          </w:p>
        </w:tc>
      </w:tr>
      <w:tr w14:paraId="3CD1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7918B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13919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6.1</w:t>
            </w:r>
          </w:p>
        </w:tc>
        <w:tc>
          <w:tcPr>
            <w:tcW w:w="8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D1DDFC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Виды контрольных (надзорных) мероприятий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3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7B0200">
            <w:pPr>
              <w:widowControl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1) инспекционный визит;</w:t>
            </w:r>
          </w:p>
          <w:p w14:paraId="628BFBDA">
            <w:pPr>
              <w:widowControl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2) документарная проверка;</w:t>
            </w:r>
          </w:p>
          <w:p w14:paraId="3320F4D3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3) выездная проверка</w:t>
            </w:r>
          </w:p>
          <w:p w14:paraId="2689715B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4) рейдовый осмотр</w:t>
            </w:r>
          </w:p>
          <w:p w14:paraId="57F4B8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6C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5169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13EB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6.2</w:t>
            </w:r>
          </w:p>
        </w:tc>
        <w:tc>
          <w:tcPr>
            <w:tcW w:w="8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6FA7B">
            <w:pPr>
              <w:pStyle w:val="84"/>
              <w:widowControl/>
              <w:spacing w:before="0" w:after="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4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87C46">
            <w:pPr>
              <w:pStyle w:val="84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Предусмотрена возможность использования, за исключением документарной проверки</w:t>
            </w:r>
          </w:p>
        </w:tc>
      </w:tr>
      <w:tr w14:paraId="6664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C231">
            <w:pPr>
              <w:widowControl/>
              <w:bidi w:val="0"/>
              <w:spacing w:before="0"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8345">
            <w:pPr>
              <w:pStyle w:val="84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6.3</w:t>
            </w:r>
          </w:p>
        </w:tc>
        <w:tc>
          <w:tcPr>
            <w:tcW w:w="8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D7A49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Возможность размещения информации о «срабатывании» индикатора риска в личном</w:t>
            </w:r>
          </w:p>
          <w:p w14:paraId="556885B9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2680DCA6">
            <w:pPr>
              <w:pStyle w:val="84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t>контрольного (надзорного) органа</w:t>
            </w:r>
            <w:r>
              <w:rPr>
                <w:rStyle w:val="13"/>
                <w:rFonts w:ascii="Times New Roman" w:hAnsi="Times New Roman" w:eastAsia="Arial" w:cs="Times New Roman"/>
                <w:kern w:val="0"/>
                <w:sz w:val="24"/>
                <w:szCs w:val="24"/>
                <w:lang w:val="ru-RU" w:eastAsia="en-US" w:bidi="ar-SA"/>
              </w:rPr>
              <w:footnoteReference w:id="15"/>
            </w:r>
          </w:p>
        </w:tc>
        <w:tc>
          <w:tcPr>
            <w:tcW w:w="4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F8279">
            <w:pPr>
              <w:pStyle w:val="84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</w:rPr>
              <w:t>Возможность размещения отсутствует</w:t>
            </w:r>
          </w:p>
        </w:tc>
      </w:tr>
    </w:tbl>
    <w:p w14:paraId="4C01053A">
      <w:pPr>
        <w:pStyle w:val="84"/>
        <w:jc w:val="right"/>
        <w:rPr>
          <w:rFonts w:ascii="Times New Roman" w:hAnsi="Times New Roman" w:cs="Times New Roman"/>
        </w:rPr>
      </w:pPr>
    </w:p>
    <w:p w14:paraId="79047BBF">
      <w:pPr>
        <w:pStyle w:val="84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03D13422">
      <w:pPr>
        <w:pStyle w:val="8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Главный</w:t>
      </w:r>
      <w:r>
        <w:rPr>
          <w:rFonts w:hint="default" w:ascii="Times New Roman" w:hAnsi="Times New Roman" w:cs="Times New Roman"/>
          <w:lang w:val="ru-RU"/>
        </w:rPr>
        <w:t xml:space="preserve"> специалист отдела обеспечения жизнедеятельности и </w:t>
      </w:r>
    </w:p>
    <w:p w14:paraId="48EDED68">
      <w:pPr>
        <w:pStyle w:val="8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управления муниципальным имуществом</w:t>
      </w:r>
    </w:p>
    <w:p w14:paraId="26842977">
      <w:pPr>
        <w:pStyle w:val="8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Хакимова</w:t>
      </w:r>
      <w:r>
        <w:rPr>
          <w:rFonts w:hint="default" w:ascii="Times New Roman" w:hAnsi="Times New Roman" w:cs="Times New Roman"/>
          <w:lang w:val="ru-RU"/>
        </w:rPr>
        <w:t xml:space="preserve"> Ольга Андреевна</w:t>
      </w:r>
    </w:p>
    <w:p w14:paraId="65A29911">
      <w:pPr>
        <w:pStyle w:val="84"/>
        <w:widowControl/>
        <w:suppressAutoHyphens/>
        <w:overflowPunct/>
        <w:bidi w:val="0"/>
        <w:jc w:val="right"/>
        <w:rPr>
          <w:rFonts w:hint="default" w:ascii="Times New Roman" w:hAnsi="Times New Roman" w:eastAsia="Arial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ascii="Times New Roman" w:hAnsi="Times New Roman" w:eastAsia="Arial" w:cs="Times New Roman"/>
          <w:color w:val="auto"/>
          <w:kern w:val="0"/>
          <w:sz w:val="22"/>
          <w:szCs w:val="22"/>
          <w:lang w:val="ru-RU" w:eastAsia="en-US" w:bidi="ar-SA"/>
        </w:rPr>
        <w:t>Тел.: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Arial" w:cs="Times New Roman"/>
          <w:color w:val="auto"/>
          <w:kern w:val="0"/>
          <w:sz w:val="22"/>
          <w:szCs w:val="22"/>
          <w:lang w:val="ru-RU" w:eastAsia="en-US" w:bidi="ar-SA"/>
        </w:rPr>
        <w:t>8 (34672) 26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ru-RU" w:eastAsia="en-US" w:bidi="ar-SA"/>
        </w:rPr>
        <w:t>166</w:t>
      </w:r>
      <w:r>
        <w:rPr>
          <w:rFonts w:ascii="Times New Roman" w:hAnsi="Times New Roman" w:eastAsia="Arial" w:cs="Times New Roman"/>
          <w:color w:val="auto"/>
          <w:kern w:val="0"/>
          <w:sz w:val="22"/>
          <w:szCs w:val="22"/>
          <w:lang w:val="ru-RU" w:eastAsia="en-US" w:bidi="ar-SA"/>
        </w:rPr>
        <w:t>*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ru-RU" w:eastAsia="en-US" w:bidi="ar-SA"/>
        </w:rPr>
        <w:t>131</w:t>
      </w:r>
    </w:p>
    <w:sectPr>
      <w:footnotePr>
        <w:numFmt w:val="decimal"/>
      </w:footnotePr>
      <w:pgSz w:w="16838" w:h="11906" w:orient="landscape"/>
      <w:pgMar w:top="567" w:right="1134" w:bottom="850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Noto Sans CJK SC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CY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">
    <w:altName w:val="Liberation Mono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2">
    <w:p>
      <w:pPr>
        <w:spacing w:before="0" w:after="0" w:line="276" w:lineRule="auto"/>
      </w:pPr>
      <w:r>
        <w:separator/>
      </w:r>
    </w:p>
  </w:footnote>
  <w:footnote w:type="continuationSeparator" w:id="33">
    <w:p>
      <w:pPr>
        <w:spacing w:before="0" w:after="0" w:line="276" w:lineRule="auto"/>
      </w:pPr>
      <w:r>
        <w:continuationSeparator/>
      </w:r>
    </w:p>
  </w:footnote>
  <w:footnote w:id="0">
    <w:p w14:paraId="752553B5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">
    <w:p w14:paraId="39AA2B36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2">
    <w:p w14:paraId="0A3C768C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">
    <w:p w14:paraId="359E24A1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4">
    <w:p w14:paraId="51F255EA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5">
    <w:p w14:paraId="34D303A4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6">
    <w:p w14:paraId="543A9F0C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14:paraId="0295CA64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14:paraId="43D8035C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14:paraId="43AAC725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14:paraId="7A18DF10">
      <w:pPr>
        <w:pStyle w:val="18"/>
        <w:spacing w:before="0" w:after="40"/>
        <w:jc w:val="both"/>
        <w:rPr>
          <w:rFonts w:ascii="Times New Roman" w:hAnsi="Times New Roman" w:cs="Times New Roman"/>
          <w:szCs w:val="18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14:paraId="5DBE2498">
      <w:pPr>
        <w:pStyle w:val="84"/>
        <w:jc w:val="both"/>
        <w:rPr>
          <w:sz w:val="18"/>
          <w:szCs w:val="18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</w:t>
      </w:r>
      <w:bookmarkStart w:id="0" w:name="_GoBack_Копия_1_Копия_1_Копия_1"/>
      <w:bookmarkEnd w:id="0"/>
      <w:r>
        <w:rPr>
          <w:rFonts w:ascii="Times New Roman" w:hAnsi="Times New Roman" w:cs="Times New Roman"/>
          <w:sz w:val="18"/>
          <w:szCs w:val="18"/>
        </w:rPr>
        <w:t>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14:paraId="7C6851D5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14:paraId="52F4DB5F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14:paraId="5296E0E9">
      <w:pPr>
        <w:pStyle w:val="18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14:paraId="4341095A">
      <w:pPr>
        <w:pStyle w:val="18"/>
        <w:spacing w:before="0" w:after="40"/>
        <w:rPr>
          <w:rFonts w:ascii="Times New Roman" w:hAnsi="Times New Roman" w:cs="Times New Roman"/>
        </w:rPr>
      </w:pPr>
      <w:r>
        <w:rPr>
          <w:rStyle w:val="73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0"/>
  <w:footnotePr>
    <w:footnote w:id="32"/>
    <w:footnote w:id="33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38741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uppressAutoHyphens/>
      <w:overflowPunct/>
      <w:bidi w:val="0"/>
      <w:spacing w:before="0" w:after="20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qFormat/>
    <w:uiPriority w:val="0"/>
    <w:rPr>
      <w:color w:val="0563C1" w:themeColor="hyperlink"/>
      <w:u w:val="single"/>
    </w:rPr>
  </w:style>
  <w:style w:type="paragraph" w:styleId="16">
    <w:name w:val="endnote text"/>
    <w:basedOn w:val="1"/>
    <w:link w:val="75"/>
    <w:qFormat/>
    <w:uiPriority w:val="0"/>
    <w:pPr>
      <w:spacing w:before="0" w:after="0" w:line="240" w:lineRule="auto"/>
    </w:pPr>
    <w:rPr>
      <w:sz w:val="20"/>
    </w:rPr>
  </w:style>
  <w:style w:type="paragraph" w:styleId="17">
    <w:name w:val="caption"/>
    <w:basedOn w:val="1"/>
    <w:next w:val="1"/>
    <w:link w:val="71"/>
    <w:qFormat/>
    <w:uiPriority w:val="0"/>
    <w:rPr>
      <w:b/>
      <w:bCs/>
      <w:color w:val="5B9BD5" w:themeColor="accent1"/>
      <w:sz w:val="18"/>
      <w:szCs w:val="18"/>
    </w:rPr>
  </w:style>
  <w:style w:type="paragraph" w:styleId="18">
    <w:name w:val="footnote text"/>
    <w:basedOn w:val="1"/>
    <w:link w:val="72"/>
    <w:qFormat/>
    <w:uiPriority w:val="0"/>
    <w:pPr>
      <w:spacing w:before="0" w:after="40" w:line="240" w:lineRule="auto"/>
    </w:pPr>
    <w:rPr>
      <w:sz w:val="18"/>
    </w:rPr>
  </w:style>
  <w:style w:type="paragraph" w:styleId="19">
    <w:name w:val="toc 8"/>
    <w:basedOn w:val="1"/>
    <w:next w:val="1"/>
    <w:qFormat/>
    <w:uiPriority w:val="0"/>
    <w:pPr>
      <w:spacing w:before="0" w:after="57"/>
      <w:ind w:left="1984"/>
    </w:pPr>
  </w:style>
  <w:style w:type="paragraph" w:styleId="20">
    <w:name w:val="header"/>
    <w:basedOn w:val="1"/>
    <w:link w:val="69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21">
    <w:name w:val="toc 9"/>
    <w:basedOn w:val="1"/>
    <w:next w:val="1"/>
    <w:qFormat/>
    <w:uiPriority w:val="0"/>
    <w:pPr>
      <w:spacing w:before="0" w:after="57"/>
      <w:ind w:left="2268"/>
    </w:pPr>
  </w:style>
  <w:style w:type="paragraph" w:styleId="22">
    <w:name w:val="toc 7"/>
    <w:basedOn w:val="1"/>
    <w:next w:val="1"/>
    <w:qFormat/>
    <w:uiPriority w:val="0"/>
    <w:pPr>
      <w:spacing w:before="0" w:after="57"/>
      <w:ind w:left="1701"/>
    </w:pPr>
  </w:style>
  <w:style w:type="paragraph" w:styleId="23">
    <w:name w:val="Body Text"/>
    <w:basedOn w:val="1"/>
    <w:qFormat/>
    <w:uiPriority w:val="0"/>
    <w:pPr>
      <w:spacing w:before="0" w:after="140" w:line="276" w:lineRule="auto"/>
    </w:pPr>
  </w:style>
  <w:style w:type="paragraph" w:styleId="24">
    <w:name w:val="index heading"/>
    <w:basedOn w:val="25"/>
    <w:qFormat/>
    <w:uiPriority w:val="0"/>
  </w:style>
  <w:style w:type="paragraph" w:customStyle="1" w:styleId="25">
    <w:name w:val="Заголовок"/>
    <w:basedOn w:val="1"/>
    <w:next w:val="23"/>
    <w:qFormat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26">
    <w:name w:val="toc 1"/>
    <w:basedOn w:val="1"/>
    <w:next w:val="1"/>
    <w:qFormat/>
    <w:uiPriority w:val="0"/>
    <w:pPr>
      <w:spacing w:before="0" w:after="57"/>
    </w:pPr>
  </w:style>
  <w:style w:type="paragraph" w:styleId="27">
    <w:name w:val="toc 6"/>
    <w:basedOn w:val="1"/>
    <w:next w:val="1"/>
    <w:qFormat/>
    <w:uiPriority w:val="0"/>
    <w:pPr>
      <w:spacing w:before="0" w:after="57"/>
      <w:ind w:left="1417"/>
    </w:pPr>
  </w:style>
  <w:style w:type="paragraph" w:styleId="28">
    <w:name w:val="table of figures"/>
    <w:basedOn w:val="1"/>
    <w:next w:val="1"/>
    <w:qFormat/>
    <w:uiPriority w:val="0"/>
    <w:pPr>
      <w:spacing w:before="0" w:after="0"/>
    </w:pPr>
  </w:style>
  <w:style w:type="paragraph" w:styleId="29">
    <w:name w:val="toc 3"/>
    <w:basedOn w:val="1"/>
    <w:next w:val="1"/>
    <w:qFormat/>
    <w:uiPriority w:val="0"/>
    <w:pPr>
      <w:spacing w:before="0" w:after="57"/>
      <w:ind w:left="567"/>
    </w:pPr>
  </w:style>
  <w:style w:type="paragraph" w:styleId="30">
    <w:name w:val="toc 2"/>
    <w:basedOn w:val="1"/>
    <w:next w:val="1"/>
    <w:qFormat/>
    <w:uiPriority w:val="0"/>
    <w:pPr>
      <w:spacing w:before="0" w:after="57"/>
      <w:ind w:left="283"/>
    </w:pPr>
  </w:style>
  <w:style w:type="paragraph" w:styleId="31">
    <w:name w:val="toc 4"/>
    <w:basedOn w:val="1"/>
    <w:next w:val="1"/>
    <w:qFormat/>
    <w:uiPriority w:val="0"/>
    <w:pPr>
      <w:spacing w:before="0" w:after="57"/>
      <w:ind w:left="850"/>
    </w:pPr>
  </w:style>
  <w:style w:type="paragraph" w:styleId="32">
    <w:name w:val="toc 5"/>
    <w:basedOn w:val="1"/>
    <w:next w:val="1"/>
    <w:qFormat/>
    <w:uiPriority w:val="0"/>
    <w:pPr>
      <w:spacing w:before="0" w:after="57"/>
      <w:ind w:left="1134"/>
    </w:pPr>
  </w:style>
  <w:style w:type="paragraph" w:styleId="33">
    <w:name w:val="Title"/>
    <w:basedOn w:val="1"/>
    <w:next w:val="1"/>
    <w:link w:val="63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35">
    <w:name w:val="List"/>
    <w:basedOn w:val="23"/>
    <w:qFormat/>
    <w:uiPriority w:val="0"/>
    <w:rPr>
      <w:rFonts w:cs="Noto Sans Devanagari"/>
    </w:rPr>
  </w:style>
  <w:style w:type="paragraph" w:styleId="36">
    <w:name w:val="Subtitle"/>
    <w:basedOn w:val="1"/>
    <w:next w:val="1"/>
    <w:link w:val="64"/>
    <w:qFormat/>
    <w:uiPriority w:val="0"/>
    <w:pPr>
      <w:spacing w:before="200" w:after="200"/>
    </w:pPr>
    <w:rPr>
      <w:sz w:val="24"/>
      <w:szCs w:val="24"/>
    </w:rPr>
  </w:style>
  <w:style w:type="character" w:customStyle="1" w:styleId="37">
    <w:name w:val="Heading 1 Char"/>
    <w:basedOn w:val="11"/>
    <w:qFormat/>
    <w:uiPriority w:val="0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0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0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0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0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0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0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0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0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0"/>
    <w:rPr>
      <w:sz w:val="48"/>
      <w:szCs w:val="48"/>
    </w:rPr>
  </w:style>
  <w:style w:type="character" w:customStyle="1" w:styleId="47">
    <w:name w:val="Subtitle Char"/>
    <w:basedOn w:val="11"/>
    <w:qFormat/>
    <w:uiPriority w:val="0"/>
    <w:rPr>
      <w:sz w:val="24"/>
      <w:szCs w:val="24"/>
    </w:rPr>
  </w:style>
  <w:style w:type="character" w:customStyle="1" w:styleId="48">
    <w:name w:val="Quote Char"/>
    <w:qFormat/>
    <w:uiPriority w:val="0"/>
    <w:rPr>
      <w:i/>
    </w:rPr>
  </w:style>
  <w:style w:type="character" w:customStyle="1" w:styleId="49">
    <w:name w:val="Intense Quote Char"/>
    <w:qFormat/>
    <w:uiPriority w:val="0"/>
    <w:rPr>
      <w:i/>
    </w:rPr>
  </w:style>
  <w:style w:type="character" w:customStyle="1" w:styleId="50">
    <w:name w:val="Header Char"/>
    <w:basedOn w:val="11"/>
    <w:qFormat/>
    <w:uiPriority w:val="0"/>
  </w:style>
  <w:style w:type="character" w:customStyle="1" w:styleId="51">
    <w:name w:val="Caption Char"/>
    <w:basedOn w:val="11"/>
    <w:qFormat/>
    <w:uiPriority w:val="0"/>
    <w:rPr>
      <w:b/>
      <w:bCs/>
      <w:color w:val="5B9BD5" w:themeColor="accent1"/>
      <w:sz w:val="18"/>
      <w:szCs w:val="18"/>
    </w:rPr>
  </w:style>
  <w:style w:type="character" w:customStyle="1" w:styleId="52">
    <w:name w:val="Footnote Text Char"/>
    <w:qFormat/>
    <w:uiPriority w:val="0"/>
    <w:rPr>
      <w:sz w:val="18"/>
    </w:rPr>
  </w:style>
  <w:style w:type="character" w:customStyle="1" w:styleId="53">
    <w:name w:val="Endnote Text Char"/>
    <w:qFormat/>
    <w:uiPriority w:val="0"/>
    <w:rPr>
      <w:sz w:val="20"/>
    </w:rPr>
  </w:style>
  <w:style w:type="character" w:customStyle="1" w:styleId="54">
    <w:name w:val="Заголовок 1 Знак"/>
    <w:qFormat/>
    <w:uiPriority w:val="0"/>
    <w:rPr>
      <w:rFonts w:ascii="Arial" w:hAnsi="Arial" w:eastAsia="Arial" w:cs="Arial"/>
      <w:sz w:val="40"/>
      <w:szCs w:val="40"/>
    </w:rPr>
  </w:style>
  <w:style w:type="character" w:customStyle="1" w:styleId="55">
    <w:name w:val="Заголовок 2 Знак"/>
    <w:qFormat/>
    <w:uiPriority w:val="0"/>
    <w:rPr>
      <w:rFonts w:ascii="Arial" w:hAnsi="Arial" w:eastAsia="Arial" w:cs="Arial"/>
      <w:sz w:val="34"/>
    </w:rPr>
  </w:style>
  <w:style w:type="character" w:customStyle="1" w:styleId="56">
    <w:name w:val="Заголовок 3 Знак"/>
    <w:qFormat/>
    <w:uiPriority w:val="0"/>
    <w:rPr>
      <w:rFonts w:ascii="Arial" w:hAnsi="Arial" w:eastAsia="Arial" w:cs="Arial"/>
      <w:sz w:val="30"/>
      <w:szCs w:val="30"/>
    </w:rPr>
  </w:style>
  <w:style w:type="character" w:customStyle="1" w:styleId="57">
    <w:name w:val="Заголовок 4 Знак"/>
    <w:qFormat/>
    <w:uiPriority w:val="0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qFormat/>
    <w:uiPriority w:val="0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qFormat/>
    <w:uiPriority w:val="0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qFormat/>
    <w:uiPriority w:val="0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qFormat/>
    <w:uiPriority w:val="0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qFormat/>
    <w:uiPriority w:val="0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Название Знак"/>
    <w:link w:val="33"/>
    <w:qFormat/>
    <w:uiPriority w:val="0"/>
    <w:rPr>
      <w:sz w:val="48"/>
      <w:szCs w:val="48"/>
    </w:rPr>
  </w:style>
  <w:style w:type="character" w:customStyle="1" w:styleId="64">
    <w:name w:val="Подзаголовок Знак"/>
    <w:link w:val="36"/>
    <w:qFormat/>
    <w:uiPriority w:val="0"/>
    <w:rPr>
      <w:sz w:val="24"/>
      <w:szCs w:val="24"/>
    </w:rPr>
  </w:style>
  <w:style w:type="character" w:customStyle="1" w:styleId="65">
    <w:name w:val="Цитата 2 Знак"/>
    <w:link w:val="66"/>
    <w:qFormat/>
    <w:uiPriority w:val="0"/>
    <w:rPr>
      <w:i/>
    </w:rPr>
  </w:style>
  <w:style w:type="paragraph" w:styleId="66">
    <w:name w:val="Quote"/>
    <w:basedOn w:val="1"/>
    <w:next w:val="1"/>
    <w:link w:val="65"/>
    <w:qFormat/>
    <w:uiPriority w:val="0"/>
    <w:pPr>
      <w:ind w:left="720" w:right="720"/>
    </w:pPr>
    <w:rPr>
      <w:i/>
    </w:rPr>
  </w:style>
  <w:style w:type="character" w:customStyle="1" w:styleId="67">
    <w:name w:val="Выделенная цитата Знак"/>
    <w:link w:val="68"/>
    <w:qFormat/>
    <w:uiPriority w:val="0"/>
    <w:rPr>
      <w:i/>
    </w:rPr>
  </w:style>
  <w:style w:type="paragraph" w:styleId="68">
    <w:name w:val="Intense Quote"/>
    <w:basedOn w:val="1"/>
    <w:next w:val="1"/>
    <w:link w:val="67"/>
    <w:qFormat/>
    <w:uiPriority w:val="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ind w:left="720" w:right="720"/>
    </w:pPr>
    <w:rPr>
      <w:i/>
    </w:rPr>
  </w:style>
  <w:style w:type="character" w:customStyle="1" w:styleId="69">
    <w:name w:val="Верхний колонтитул Знак"/>
    <w:link w:val="20"/>
    <w:qFormat/>
    <w:uiPriority w:val="0"/>
  </w:style>
  <w:style w:type="character" w:customStyle="1" w:styleId="70">
    <w:name w:val="Footer Char"/>
    <w:qFormat/>
    <w:uiPriority w:val="0"/>
  </w:style>
  <w:style w:type="character" w:customStyle="1" w:styleId="71">
    <w:name w:val="Название объекта Знак"/>
    <w:link w:val="17"/>
    <w:qFormat/>
    <w:uiPriority w:val="0"/>
  </w:style>
  <w:style w:type="character" w:customStyle="1" w:styleId="72">
    <w:name w:val="Текст сноски Знак"/>
    <w:link w:val="18"/>
    <w:qFormat/>
    <w:uiPriority w:val="0"/>
    <w:rPr>
      <w:sz w:val="18"/>
    </w:rPr>
  </w:style>
  <w:style w:type="character" w:customStyle="1" w:styleId="73">
    <w:name w:val="Символ сноски"/>
    <w:qFormat/>
    <w:uiPriority w:val="0"/>
    <w:rPr>
      <w:vertAlign w:val="superscript"/>
    </w:rPr>
  </w:style>
  <w:style w:type="character" w:customStyle="1" w:styleId="74">
    <w:name w:val="Символ сноски (user)"/>
    <w:qFormat/>
    <w:uiPriority w:val="0"/>
    <w:rPr>
      <w:vertAlign w:val="superscript"/>
    </w:rPr>
  </w:style>
  <w:style w:type="character" w:customStyle="1" w:styleId="75">
    <w:name w:val="Текст концевой сноски Знак"/>
    <w:link w:val="16"/>
    <w:qFormat/>
    <w:uiPriority w:val="0"/>
    <w:rPr>
      <w:sz w:val="20"/>
    </w:rPr>
  </w:style>
  <w:style w:type="character" w:customStyle="1" w:styleId="76">
    <w:name w:val="Символ концевой сноски"/>
    <w:qFormat/>
    <w:uiPriority w:val="0"/>
    <w:rPr>
      <w:vertAlign w:val="superscript"/>
    </w:rPr>
  </w:style>
  <w:style w:type="character" w:customStyle="1" w:styleId="77">
    <w:name w:val="Символ концевой сноски (user)"/>
    <w:qFormat/>
    <w:uiPriority w:val="0"/>
    <w:rPr>
      <w:vertAlign w:val="superscript"/>
    </w:rPr>
  </w:style>
  <w:style w:type="character" w:customStyle="1" w:styleId="78">
    <w:name w:val="Строгий1"/>
    <w:qFormat/>
    <w:uiPriority w:val="0"/>
    <w:rPr>
      <w:b/>
      <w:bCs/>
    </w:rPr>
  </w:style>
  <w:style w:type="paragraph" w:customStyle="1" w:styleId="79">
    <w:name w:val="Указатель1"/>
    <w:basedOn w:val="1"/>
    <w:qFormat/>
    <w:uiPriority w:val="0"/>
    <w:pPr>
      <w:suppressLineNumbers/>
    </w:pPr>
    <w:rPr>
      <w:rFonts w:cs="Noto Sans Devanagari"/>
    </w:rPr>
  </w:style>
  <w:style w:type="paragraph" w:customStyle="1" w:styleId="80">
    <w:name w:val="Заголовок (user)"/>
    <w:basedOn w:val="1"/>
    <w:next w:val="23"/>
    <w:qFormat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81">
    <w:name w:val="Указатель (user)"/>
    <w:basedOn w:val="1"/>
    <w:qFormat/>
    <w:uiPriority w:val="0"/>
    <w:pPr>
      <w:suppressLineNumbers/>
    </w:pPr>
    <w:rPr>
      <w:rFonts w:cs="Noto Sans Devanagari"/>
    </w:rPr>
  </w:style>
  <w:style w:type="paragraph" w:customStyle="1" w:styleId="82">
    <w:name w:val="Header and Footer"/>
    <w:basedOn w:val="1"/>
    <w:qFormat/>
    <w:uiPriority w:val="0"/>
  </w:style>
  <w:style w:type="paragraph" w:customStyle="1" w:styleId="83">
    <w:name w:val="TOC Heading"/>
    <w:qFormat/>
    <w:uiPriority w:val="0"/>
    <w:pPr>
      <w:widowControl/>
      <w:suppressAutoHyphens/>
      <w:overflowPunct/>
      <w:bidi w:val="0"/>
      <w:spacing w:before="0" w:after="20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84">
    <w:name w:val="No Spacing"/>
    <w:basedOn w:val="1"/>
    <w:qFormat/>
    <w:uiPriority w:val="0"/>
    <w:pPr>
      <w:spacing w:before="0" w:after="0" w:line="240" w:lineRule="auto"/>
    </w:pPr>
  </w:style>
  <w:style w:type="paragraph" w:styleId="85">
    <w:name w:val="List Paragraph"/>
    <w:basedOn w:val="1"/>
    <w:qFormat/>
    <w:uiPriority w:val="0"/>
    <w:pPr>
      <w:spacing w:before="0" w:after="200"/>
      <w:ind w:left="720"/>
      <w:contextualSpacing/>
    </w:pPr>
  </w:style>
  <w:style w:type="paragraph" w:customStyle="1" w:styleId="86">
    <w:name w:val="Содержимое таблицы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1123</Words>
  <Characters>8985</Characters>
  <Paragraphs>133</Paragraphs>
  <TotalTime>9</TotalTime>
  <ScaleCrop>false</ScaleCrop>
  <LinksUpToDate>false</LinksUpToDate>
  <CharactersWithSpaces>10002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2025-10-31T11:33:00Z</dcterms:created>
  <dc:creator>User</dc:creator>
  <cp:lastModifiedBy>WPS_1694432202</cp:lastModifiedBy>
  <dcterms:modified xsi:type="dcterms:W3CDTF">2025-12-23T11:42:56Z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F3456BAABFEC4917883D68F3326C6694_12</vt:lpwstr>
  </property>
</Properties>
</file>